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>Załącznik nr  4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5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.2022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Przebudowa drogi powiatowej nr </w:t>
      </w:r>
      <w:r>
        <w:rPr>
          <w:rFonts w:eastAsia="Times New Roman" w:cs="Arial" w:ascii="Arial" w:hAnsi="Arial"/>
          <w:b/>
          <w:sz w:val="22"/>
          <w:szCs w:val="22"/>
          <w:lang w:eastAsia="pl-PL"/>
        </w:rPr>
        <w:t>3757W Majki Duże – droga 10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2" w:name="_Hlk60301409"/>
      <w:bookmarkStart w:id="3" w:name="_Hlk60301409"/>
      <w:bookmarkEnd w:id="3"/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Application>LibreOffice/5.4.3.2$Windows_X86_64 LibreOffice_project/92a7159f7e4af62137622921e809f8546db437e5</Application>
  <Pages>1</Pages>
  <Words>166</Words>
  <Characters>1470</Characters>
  <CharactersWithSpaces>1635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2022-04-07T08:51:00Z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