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6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drogi powiatowej nr </w:t>
      </w:r>
      <w:r>
        <w:rPr>
          <w:rFonts w:cs="Arial" w:ascii="Arial" w:hAnsi="Arial"/>
          <w:b/>
          <w:bCs/>
        </w:rPr>
        <w:t>3716W Szczutowo – Dąbkowa – Szczechowo w m. Szczutowo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2</Pages>
  <Words>508</Words>
  <Characters>3318</Characters>
  <CharactersWithSpaces>3817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2022-04-07T10:05:27Z</dcterms:created>
  <dc:creator/>
  <dc:description/>
  <dc:language>pl-PL</dc:language>
  <cp:lastModifiedBy/>
  <dcterms:modified xsi:type="dcterms:W3CDTF">2022-04-08T13:18:02Z</dcterms:modified>
  <cp:revision>3</cp:revision>
  <dc:subject/>
  <dc:title/>
</cp:coreProperties>
</file>