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ZDP.DT.3.261.6.2022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drogi powiatowej nr 3716W Szczutowo – Dąbkowa – Szczechowo w m. Szczutowo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63" w:leader="none"/>
        </w:tabs>
        <w:spacing w:lineRule="auto" w:line="240" w:before="0" w:after="0"/>
        <w:ind w:left="426" w:right="0" w:hanging="420"/>
        <w:jc w:val="both"/>
        <w:rPr/>
      </w:pPr>
      <w:r>
        <w:rPr>
          <w:rFonts w:cs="Arial" w:ascii="Arial" w:hAnsi="Arial"/>
          <w:lang w:eastAsia="x-none"/>
        </w:rPr>
        <w:tab/>
      </w:r>
      <w:r>
        <w:rPr>
          <w:rFonts w:eastAsia="MS Gothic" w:cs="Arial" w:ascii="MS Gothic" w:hAnsi="MS Gothic"/>
          <w:color w:val="00000A"/>
          <w:sz w:val="22"/>
          <w:szCs w:val="22"/>
          <w:lang w:eastAsia="x-none"/>
        </w:rPr>
        <w:t xml:space="preserve">☐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</w:r>
      <w:r>
        <w:rPr>
          <w:rFonts w:cs="Arial" w:ascii="Arial" w:hAnsi="Arial"/>
          <w:bCs/>
          <w:iCs/>
          <w:sz w:val="22"/>
          <w:szCs w:val="22"/>
        </w:rPr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right="0" w:hanging="0"/>
        <w:jc w:val="both"/>
        <w:rPr/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3</Pages>
  <Words>603</Words>
  <Characters>4052</Characters>
  <CharactersWithSpaces>4666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2022-04-25T09:00:23Z</dcterms:modified>
  <cp:revision>5</cp:revision>
  <dc:subject/>
  <dc:title/>
</cp:coreProperties>
</file>