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ZDP.DT.3.261.</w:t>
            </w:r>
            <w:r>
              <w:rPr>
                <w:rFonts w:eastAsia="Arial" w:cs="Arial" w:ascii="Arial" w:hAnsi="Arial"/>
                <w:b w:val="false"/>
                <w:bCs w:val="false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</w:rPr>
              <w:t>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>„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 xml:space="preserve">Przebudowa drogi powiatowej nr 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>3716W Szczutowo – Dąbkowa – Szczechowo w m. Szczutowo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tbl>
            <w:tblPr>
              <w:tblW w:w="90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BFBFBF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kosztorysowe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sz w:val="22"/>
                <w:szCs w:val="20"/>
                <w:u w:val="none"/>
                <w:lang w:eastAsia="pl-PL"/>
              </w:rPr>
              <w:t>60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miesięcy, natomiast maksymalny 72 miesiące).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120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>od dnia upływu terminu składania ofert, tj. do dnia 26.05.2022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9385" cy="149860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45pt;height:11.7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59385" cy="149860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45pt;height:11.7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9385" cy="149860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45pt;height:11.7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9385" cy="149860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45pt;height:11.7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9385" cy="149860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0" cy="1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45pt;height:11.7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9555" cy="46037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76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enter" w:pos="4536" w:leader="none"/>
                              <w:tab w:val="right" w:pos="9072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15pt;margin-top:0.05pt;width:19.55pt;height:36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Gwka"/>
                      <w:tabs>
                        <w:tab w:val="center" w:pos="4536" w:leader="none"/>
                        <w:tab w:val="right" w:pos="9072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eastAsia="Times New Roman" w:cs="Arial"/>
      <w:color w:val="00000A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Times New Roman" w:cs="Arial"/>
      <w:color w:val="00000A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color w:val="00000A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eastAsia="Times New Roman" w:cs="Arial"/>
      <w:color w:val="00000A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rFonts w:eastAsia="Times New Roman" w:cs="Arial"/>
      <w:color w:val="00000A"/>
    </w:rPr>
  </w:style>
  <w:style w:type="character" w:styleId="ListLabel11">
    <w:name w:val="ListLabel 11"/>
    <w:qFormat/>
    <w:rPr>
      <w:sz w:val="22"/>
    </w:rPr>
  </w:style>
  <w:style w:type="character" w:styleId="ListLabel12">
    <w:name w:val="ListLabel 12"/>
    <w:qFormat/>
    <w:rPr>
      <w:rFonts w:eastAsia="Times New Roman" w:cs="Arial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LibreOffice/5.4.3.2$Windows_X86_64 LibreOffice_project/92a7159f7e4af62137622921e809f8546db437e5</Application>
  <Pages>4</Pages>
  <Words>661</Words>
  <Characters>5101</Characters>
  <CharactersWithSpaces>5768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2022-04-08T13:57:32Z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